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3B4" w14:textId="77777777" w:rsidR="00902151" w:rsidRDefault="00124F0E" w:rsidP="00124F0E">
      <w:pPr>
        <w:jc w:val="center"/>
        <w:rPr>
          <w:rFonts w:ascii="Century Gothic" w:hAnsi="Century Gothic" w:cs="Baghdad"/>
          <w:b/>
          <w:color w:val="1481AB" w:themeColor="accent1" w:themeShade="BF"/>
        </w:rPr>
      </w:pPr>
      <w:r w:rsidRPr="00124F0E">
        <w:rPr>
          <w:rFonts w:ascii="Century Gothic" w:hAnsi="Century Gothic" w:cs="Baghdad"/>
          <w:b/>
          <w:color w:val="1481AB" w:themeColor="accent1" w:themeShade="BF"/>
        </w:rPr>
        <w:t>FAQ BANDO EDUCARE IN COMUNE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82"/>
        <w:gridCol w:w="8959"/>
      </w:tblGrid>
      <w:tr w:rsidR="00852B1E" w14:paraId="0CEB3605" w14:textId="77777777" w:rsidTr="00852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774E1BC" w14:textId="77777777" w:rsidR="00852B1E" w:rsidRPr="00124F0E" w:rsidRDefault="00852B1E" w:rsidP="00124F0E">
            <w:pPr>
              <w:jc w:val="center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QUESITO</w:t>
            </w:r>
          </w:p>
        </w:tc>
        <w:tc>
          <w:tcPr>
            <w:tcW w:w="8959" w:type="dxa"/>
          </w:tcPr>
          <w:p w14:paraId="2A049595" w14:textId="77777777" w:rsidR="00852B1E" w:rsidRPr="00124F0E" w:rsidRDefault="00852B1E" w:rsidP="00124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RISPOSTA</w:t>
            </w:r>
          </w:p>
        </w:tc>
      </w:tr>
      <w:tr w:rsidR="00852B1E" w14:paraId="18BDD7D7" w14:textId="77777777" w:rsidTr="0085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529FD1C0" w14:textId="77777777" w:rsidR="00852B1E" w:rsidRPr="00682E16" w:rsidRDefault="00852B1E" w:rsidP="003B50D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682E16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L'ente preposto alla valutazione di impatto può essere sia un fornitore esterno, sia un soggetto del partenariato?</w:t>
            </w:r>
          </w:p>
        </w:tc>
        <w:tc>
          <w:tcPr>
            <w:tcW w:w="8959" w:type="dxa"/>
          </w:tcPr>
          <w:p w14:paraId="71AD19A6" w14:textId="3CE54669" w:rsidR="00852B1E" w:rsidRPr="00124F0E" w:rsidRDefault="00852B1E" w:rsidP="003B50DB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425B21D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E’ rimessa al proponente la scelta di chi e come coinvolgere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 qaulità di </w:t>
            </w:r>
            <w:r w:rsidRPr="425B21D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ente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preposto alla</w:t>
            </w:r>
            <w:r w:rsidRPr="425B21D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valutazione di impatto. E’ auspicabile che il soggetto appartenga al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la comunità educante</w:t>
            </w:r>
          </w:p>
        </w:tc>
      </w:tr>
      <w:tr w:rsidR="00852B1E" w14:paraId="29F4A1D6" w14:textId="77777777" w:rsidTr="0085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5477E2B" w14:textId="18C15F96" w:rsidR="00852B1E" w:rsidRPr="00810700" w:rsidRDefault="00852B1E" w:rsidP="00810700">
            <w:pPr>
              <w:contextualSpacing/>
              <w:rPr>
                <w:rFonts w:ascii="Century Gothic" w:hAnsi="Century Gothic" w:cs="Baghdad"/>
                <w:sz w:val="22"/>
                <w:szCs w:val="22"/>
              </w:rPr>
            </w:pPr>
            <w:r w:rsidRPr="00810700">
              <w:rPr>
                <w:rFonts w:ascii="Century Gothic" w:hAnsi="Century Gothic" w:cs="Baghdad"/>
                <w:sz w:val="22"/>
                <w:szCs w:val="22"/>
              </w:rPr>
              <w:t>Quali sono le modalita’ previste ed ammesse</w:t>
            </w:r>
            <w:r>
              <w:rPr>
                <w:rFonts w:ascii="Century Gothic" w:hAnsi="Century Gothic" w:cs="Baghdad"/>
                <w:sz w:val="22"/>
                <w:szCs w:val="22"/>
              </w:rPr>
              <w:t xml:space="preserve"> di affidamento delle attività di valutazione dell’impatto sociale</w:t>
            </w:r>
            <w:r w:rsidRPr="00810700">
              <w:rPr>
                <w:rFonts w:ascii="Century Gothic" w:hAnsi="Century Gothic" w:cs="Baghdad"/>
                <w:sz w:val="22"/>
                <w:szCs w:val="22"/>
              </w:rPr>
              <w:t xml:space="preserve">? </w:t>
            </w:r>
            <w:r>
              <w:rPr>
                <w:rFonts w:ascii="Century Gothic" w:hAnsi="Century Gothic" w:cs="Baghdad"/>
                <w:sz w:val="22"/>
                <w:szCs w:val="22"/>
              </w:rPr>
              <w:t>S</w:t>
            </w:r>
            <w:r w:rsidRPr="00810700">
              <w:rPr>
                <w:rFonts w:ascii="Century Gothic" w:hAnsi="Century Gothic" w:cs="Baghdad"/>
                <w:sz w:val="22"/>
                <w:szCs w:val="22"/>
              </w:rPr>
              <w:t>ono previsti degli importi massimi per queste attivita’ rispetto al budget di progetto?</w:t>
            </w:r>
          </w:p>
          <w:p w14:paraId="5A07B36B" w14:textId="660038D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5C4E7BA2" w14:textId="2D3258CB" w:rsidR="00852B1E" w:rsidRDefault="00852B1E" w:rsidP="00810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81070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L’Avviso non reca indicazioni in merito alle modalità di scelta, che pertanto sono a discrezione del soggetto proponente, e neanche con riferimento al limite massimo del budget utilizzabile per questa attività. </w:t>
            </w:r>
          </w:p>
          <w:p w14:paraId="747AE6C9" w14:textId="65870CC9" w:rsidR="00852B1E" w:rsidRPr="00124F0E" w:rsidRDefault="00852B1E" w:rsidP="00810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Si segnala, tuttavia, che uno dei criteri di valutazione indicati nell’art. 8 dell’Avviso prevede la verifica della congruità, attendibilità e realissmo del piano ifinanziario, in relazione alla dimensione dell’intervento e al tipo di attività da esegure</w:t>
            </w:r>
          </w:p>
        </w:tc>
      </w:tr>
      <w:tr w:rsidR="00852B1E" w14:paraId="30276E3F" w14:textId="77777777" w:rsidTr="0085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234195A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3BD4C5E" w14:textId="77777777" w:rsidR="00852B1E" w:rsidRPr="00124F0E" w:rsidRDefault="00852B1E" w:rsidP="00810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4E9ED31D" w14:textId="77777777" w:rsidTr="0085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D2973E1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7A4F488A" w14:textId="77777777" w:rsidR="00852B1E" w:rsidRPr="00124F0E" w:rsidRDefault="00852B1E" w:rsidP="00810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1DAD9001" w14:textId="77777777" w:rsidTr="0085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0F9B80B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7164DA6" w14:textId="77777777" w:rsidR="00852B1E" w:rsidRPr="00124F0E" w:rsidRDefault="00852B1E" w:rsidP="00810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44924E29" w14:textId="77777777" w:rsidTr="0085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8ACE2D9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6B876749" w14:textId="77777777" w:rsidR="00852B1E" w:rsidRPr="00124F0E" w:rsidRDefault="00852B1E" w:rsidP="00810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66E1F72B" w14:textId="77777777" w:rsidTr="0085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138FA5B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01E91BF3" w14:textId="77777777" w:rsidR="00852B1E" w:rsidRPr="00124F0E" w:rsidRDefault="00852B1E" w:rsidP="00810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628B6FF9" w14:textId="77777777" w:rsidTr="0085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61F17F30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08A950BF" w14:textId="77777777" w:rsidR="00852B1E" w:rsidRPr="00124F0E" w:rsidRDefault="00852B1E" w:rsidP="00810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27C39ADC" w14:textId="77777777" w:rsidTr="0085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2FA29B3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421E843B" w14:textId="77777777" w:rsidR="00852B1E" w:rsidRPr="00124F0E" w:rsidRDefault="00852B1E" w:rsidP="00810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5550B69C" w14:textId="77777777" w:rsidTr="0085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0F8768F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6E90AD1" w14:textId="77777777" w:rsidR="00852B1E" w:rsidRPr="00124F0E" w:rsidRDefault="00852B1E" w:rsidP="00810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2EB43067" w14:textId="77777777" w:rsidTr="0085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447232B2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6C0FA184" w14:textId="77777777" w:rsidR="00852B1E" w:rsidRPr="00124F0E" w:rsidRDefault="00852B1E" w:rsidP="00810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64BEE42E" w14:textId="77777777" w:rsidTr="0085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CE3738D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5CD4A4B0" w14:textId="77777777" w:rsidR="00852B1E" w:rsidRPr="00124F0E" w:rsidRDefault="00852B1E" w:rsidP="00810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47463EDD" w14:textId="77777777" w:rsidTr="0085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720EA7F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34D0BF43" w14:textId="77777777" w:rsidR="00852B1E" w:rsidRPr="00124F0E" w:rsidRDefault="00852B1E" w:rsidP="00810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0704AB01" w14:textId="77777777" w:rsidTr="0085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4604B0A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7D2B73C1" w14:textId="77777777" w:rsidR="00852B1E" w:rsidRPr="00124F0E" w:rsidRDefault="00852B1E" w:rsidP="00810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04100A04" w14:textId="77777777" w:rsidTr="0085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A32E8DF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5E1C7060" w14:textId="77777777" w:rsidR="00852B1E" w:rsidRPr="00124F0E" w:rsidRDefault="00852B1E" w:rsidP="00810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4D7A5282" w14:textId="77777777" w:rsidTr="0085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39B2261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4182AED7" w14:textId="77777777" w:rsidR="00852B1E" w:rsidRPr="00124F0E" w:rsidRDefault="00852B1E" w:rsidP="00810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852B1E" w14:paraId="1A6084A9" w14:textId="77777777" w:rsidTr="0085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61F2084B" w14:textId="77777777" w:rsidR="00852B1E" w:rsidRPr="00124F0E" w:rsidRDefault="00852B1E" w:rsidP="0081070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1D3521DB" w14:textId="77777777" w:rsidR="00852B1E" w:rsidRPr="00124F0E" w:rsidRDefault="00852B1E" w:rsidP="00810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</w:tbl>
    <w:p w14:paraId="473936E3" w14:textId="77777777" w:rsidR="00124F0E" w:rsidRPr="00124F0E" w:rsidRDefault="00124F0E" w:rsidP="00124F0E">
      <w:pPr>
        <w:rPr>
          <w:rFonts w:ascii="Century Gothic" w:hAnsi="Century Gothic" w:cs="Baghdad"/>
          <w:b/>
          <w:color w:val="1481AB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040EB"/>
    <w:rsid w:val="00017377"/>
    <w:rsid w:val="00082817"/>
    <w:rsid w:val="000A79A2"/>
    <w:rsid w:val="000D4B54"/>
    <w:rsid w:val="000E1031"/>
    <w:rsid w:val="000E7109"/>
    <w:rsid w:val="001172D2"/>
    <w:rsid w:val="00124F0E"/>
    <w:rsid w:val="00125E6F"/>
    <w:rsid w:val="0015263A"/>
    <w:rsid w:val="00154C39"/>
    <w:rsid w:val="00157AEF"/>
    <w:rsid w:val="001700D2"/>
    <w:rsid w:val="00182751"/>
    <w:rsid w:val="001D23DF"/>
    <w:rsid w:val="001E5E22"/>
    <w:rsid w:val="001F5B51"/>
    <w:rsid w:val="002077E9"/>
    <w:rsid w:val="002118FB"/>
    <w:rsid w:val="00215E84"/>
    <w:rsid w:val="002210D8"/>
    <w:rsid w:val="00262BB7"/>
    <w:rsid w:val="00271CAA"/>
    <w:rsid w:val="0029753D"/>
    <w:rsid w:val="002B6864"/>
    <w:rsid w:val="002F5C42"/>
    <w:rsid w:val="003171EC"/>
    <w:rsid w:val="00326796"/>
    <w:rsid w:val="003350F8"/>
    <w:rsid w:val="00341A9E"/>
    <w:rsid w:val="00370FBC"/>
    <w:rsid w:val="003847B0"/>
    <w:rsid w:val="003B50DB"/>
    <w:rsid w:val="003C719D"/>
    <w:rsid w:val="003D2F3E"/>
    <w:rsid w:val="003F42F6"/>
    <w:rsid w:val="00435160"/>
    <w:rsid w:val="004548F7"/>
    <w:rsid w:val="004565E4"/>
    <w:rsid w:val="0047694A"/>
    <w:rsid w:val="004F41CF"/>
    <w:rsid w:val="00505177"/>
    <w:rsid w:val="00581A2C"/>
    <w:rsid w:val="005D6FBC"/>
    <w:rsid w:val="005D78C7"/>
    <w:rsid w:val="00621ED1"/>
    <w:rsid w:val="00634B50"/>
    <w:rsid w:val="00642A20"/>
    <w:rsid w:val="00677CF9"/>
    <w:rsid w:val="00682E16"/>
    <w:rsid w:val="006A000E"/>
    <w:rsid w:val="006B6561"/>
    <w:rsid w:val="006C157B"/>
    <w:rsid w:val="006F5EF5"/>
    <w:rsid w:val="0071735B"/>
    <w:rsid w:val="0072300C"/>
    <w:rsid w:val="0073593C"/>
    <w:rsid w:val="00741984"/>
    <w:rsid w:val="00745CBE"/>
    <w:rsid w:val="00752E26"/>
    <w:rsid w:val="007B22C8"/>
    <w:rsid w:val="007C27F4"/>
    <w:rsid w:val="007C76DB"/>
    <w:rsid w:val="007D2F73"/>
    <w:rsid w:val="007E6D92"/>
    <w:rsid w:val="00810700"/>
    <w:rsid w:val="00820F50"/>
    <w:rsid w:val="00836BF5"/>
    <w:rsid w:val="008519C8"/>
    <w:rsid w:val="00852B1E"/>
    <w:rsid w:val="00853BD2"/>
    <w:rsid w:val="00853EE9"/>
    <w:rsid w:val="008657E9"/>
    <w:rsid w:val="0087041E"/>
    <w:rsid w:val="00885623"/>
    <w:rsid w:val="008B2A80"/>
    <w:rsid w:val="008D3E79"/>
    <w:rsid w:val="008F08AB"/>
    <w:rsid w:val="00902151"/>
    <w:rsid w:val="00925121"/>
    <w:rsid w:val="009268B8"/>
    <w:rsid w:val="009430AE"/>
    <w:rsid w:val="00976CC0"/>
    <w:rsid w:val="00990342"/>
    <w:rsid w:val="00990F8D"/>
    <w:rsid w:val="00992869"/>
    <w:rsid w:val="009A4E29"/>
    <w:rsid w:val="009A702C"/>
    <w:rsid w:val="009C7EE9"/>
    <w:rsid w:val="009D481C"/>
    <w:rsid w:val="009D5610"/>
    <w:rsid w:val="00A23E1A"/>
    <w:rsid w:val="00A61BE7"/>
    <w:rsid w:val="00A62109"/>
    <w:rsid w:val="00AA0F25"/>
    <w:rsid w:val="00AB09A0"/>
    <w:rsid w:val="00AB36E3"/>
    <w:rsid w:val="00AB6408"/>
    <w:rsid w:val="00AC2C8A"/>
    <w:rsid w:val="00AC2CAB"/>
    <w:rsid w:val="00B275AF"/>
    <w:rsid w:val="00BA3C0A"/>
    <w:rsid w:val="00BA4E1F"/>
    <w:rsid w:val="00C01C57"/>
    <w:rsid w:val="00C14745"/>
    <w:rsid w:val="00C164E4"/>
    <w:rsid w:val="00C353C5"/>
    <w:rsid w:val="00CD5026"/>
    <w:rsid w:val="00D50C4B"/>
    <w:rsid w:val="00DF265A"/>
    <w:rsid w:val="00E11C6D"/>
    <w:rsid w:val="00E8139D"/>
    <w:rsid w:val="00E97762"/>
    <w:rsid w:val="00EB3B8D"/>
    <w:rsid w:val="00EB6D73"/>
    <w:rsid w:val="00ED7B70"/>
    <w:rsid w:val="00F25B39"/>
    <w:rsid w:val="00FD5535"/>
    <w:rsid w:val="00FE0524"/>
    <w:rsid w:val="00FE1431"/>
    <w:rsid w:val="00FE4831"/>
    <w:rsid w:val="00FE53D8"/>
    <w:rsid w:val="04D38585"/>
    <w:rsid w:val="06D39C50"/>
    <w:rsid w:val="0E6ABEFC"/>
    <w:rsid w:val="278F2E97"/>
    <w:rsid w:val="2A1411DE"/>
    <w:rsid w:val="2C94C740"/>
    <w:rsid w:val="35F878FF"/>
    <w:rsid w:val="41026C9E"/>
    <w:rsid w:val="425B21D2"/>
    <w:rsid w:val="6249FB56"/>
    <w:rsid w:val="68619C07"/>
    <w:rsid w:val="7F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B9F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paragraph" w:styleId="Nessunaspaziatura">
    <w:name w:val="No Spacing"/>
    <w:uiPriority w:val="1"/>
    <w:qFormat/>
    <w:pPr>
      <w:spacing w:after="0"/>
    </w:pPr>
  </w:style>
  <w:style w:type="table" w:styleId="Tabellagriglia4-colore1">
    <w:name w:val="Grid Table 4 Accent 1"/>
    <w:basedOn w:val="Tabellanormale"/>
    <w:uiPriority w:val="49"/>
    <w:rsid w:val="00B275AF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1D9A8-8BB5-40AD-913B-4B5014B5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Damiano</cp:lastModifiedBy>
  <cp:revision>5</cp:revision>
  <dcterms:created xsi:type="dcterms:W3CDTF">2021-01-11T15:55:00Z</dcterms:created>
  <dcterms:modified xsi:type="dcterms:W3CDTF">2021-01-18T12:26:00Z</dcterms:modified>
</cp:coreProperties>
</file>